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8"/>
          <w:szCs w:val="28"/>
        </w:rPr>
      </w:pPr>
      <w:r>
        <w:rPr>
          <w:rFonts w:ascii="Times New Roman" w:eastAsia="Times New Roman" w:hAnsi="Times New Roman" w:cs="Times New Roman"/>
          <w:sz w:val="28"/>
          <w:szCs w:val="28"/>
        </w:rPr>
        <w:t xml:space="preserve">Дело № </w:t>
      </w:r>
      <w:r>
        <w:rPr>
          <w:rFonts w:ascii="Times New Roman" w:eastAsia="Times New Roman" w:hAnsi="Times New Roman" w:cs="Times New Roman"/>
          <w:sz w:val="28"/>
          <w:szCs w:val="28"/>
        </w:rPr>
        <w:t>05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1566-2613</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2025</w:t>
      </w:r>
    </w:p>
    <w:p>
      <w:pPr>
        <w:spacing w:before="0" w:after="0"/>
        <w:rPr>
          <w:sz w:val="28"/>
          <w:szCs w:val="28"/>
        </w:rPr>
      </w:pPr>
    </w:p>
    <w:p>
      <w:pPr>
        <w:spacing w:before="0" w:after="0"/>
        <w:ind w:firstLine="708"/>
        <w:jc w:val="center"/>
        <w:rPr>
          <w:sz w:val="28"/>
          <w:szCs w:val="28"/>
        </w:rPr>
      </w:pPr>
      <w:r>
        <w:rPr>
          <w:rFonts w:ascii="Times New Roman" w:eastAsia="Times New Roman" w:hAnsi="Times New Roman" w:cs="Times New Roman"/>
          <w:sz w:val="28"/>
          <w:szCs w:val="28"/>
        </w:rPr>
        <w:t>ПОСТАНОВЛЕНИЕ</w:t>
      </w:r>
    </w:p>
    <w:p>
      <w:pPr>
        <w:spacing w:before="0" w:after="0"/>
        <w:rPr>
          <w:sz w:val="28"/>
          <w:szCs w:val="28"/>
        </w:rPr>
      </w:pPr>
      <w:r>
        <w:rPr>
          <w:rFonts w:ascii="Times New Roman" w:eastAsia="Times New Roman" w:hAnsi="Times New Roman" w:cs="Times New Roman"/>
          <w:sz w:val="28"/>
          <w:szCs w:val="28"/>
        </w:rPr>
        <w:t>г</w:t>
      </w:r>
      <w:r>
        <w:rPr>
          <w:rFonts w:ascii="Times New Roman" w:eastAsia="Times New Roman" w:hAnsi="Times New Roman" w:cs="Times New Roman"/>
          <w:sz w:val="28"/>
          <w:szCs w:val="28"/>
        </w:rPr>
        <w:t>ород</w:t>
      </w:r>
      <w:r>
        <w:rPr>
          <w:rFonts w:ascii="Times New Roman" w:eastAsia="Times New Roman" w:hAnsi="Times New Roman" w:cs="Times New Roman"/>
          <w:sz w:val="28"/>
          <w:szCs w:val="28"/>
        </w:rPr>
        <w:t xml:space="preserve"> Сургут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 октября</w:t>
      </w:r>
      <w:r>
        <w:rPr>
          <w:rFonts w:ascii="Times New Roman" w:eastAsia="Times New Roman" w:hAnsi="Times New Roman" w:cs="Times New Roman"/>
          <w:sz w:val="28"/>
          <w:szCs w:val="28"/>
        </w:rPr>
        <w:t xml:space="preserve"> 2025</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pPr>
        <w:spacing w:before="0" w:after="0"/>
        <w:rPr>
          <w:sz w:val="28"/>
          <w:szCs w:val="28"/>
        </w:rPr>
      </w:pPr>
      <w:r>
        <w:rPr>
          <w:rFonts w:ascii="Times New Roman" w:eastAsia="Times New Roman" w:hAnsi="Times New Roman" w:cs="Times New Roman"/>
          <w:sz w:val="28"/>
          <w:szCs w:val="28"/>
        </w:rPr>
        <w:t> </w:t>
      </w:r>
    </w:p>
    <w:p>
      <w:pPr>
        <w:spacing w:before="0" w:after="0"/>
        <w:ind w:firstLine="708"/>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судебного участка № </w:t>
      </w: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судебного района города окружного значения Сургута Ханты-Мансийского автономного округа – Югры </w:t>
      </w:r>
      <w:r>
        <w:rPr>
          <w:rFonts w:ascii="Times New Roman" w:eastAsia="Times New Roman" w:hAnsi="Times New Roman" w:cs="Times New Roman"/>
          <w:sz w:val="28"/>
          <w:szCs w:val="28"/>
        </w:rPr>
        <w:t>Айткулова</w:t>
      </w:r>
      <w:r>
        <w:rPr>
          <w:rFonts w:ascii="Times New Roman" w:eastAsia="Times New Roman" w:hAnsi="Times New Roman" w:cs="Times New Roman"/>
          <w:sz w:val="28"/>
          <w:szCs w:val="28"/>
        </w:rPr>
        <w:t xml:space="preserve"> Д.Б., находящийся по адресу: Ханты-Мансийский автономный округ – Югра, г. Сургут, ул. Гагарина, д. 9, зал судебного заседания </w:t>
      </w:r>
      <w:r>
        <w:rPr>
          <w:rFonts w:ascii="Times New Roman" w:eastAsia="Times New Roman" w:hAnsi="Times New Roman" w:cs="Times New Roman"/>
          <w:sz w:val="28"/>
          <w:szCs w:val="28"/>
        </w:rPr>
        <w:t>каб</w:t>
      </w:r>
      <w:r>
        <w:rPr>
          <w:rFonts w:ascii="Times New Roman" w:eastAsia="Times New Roman" w:hAnsi="Times New Roman" w:cs="Times New Roman"/>
          <w:sz w:val="28"/>
          <w:szCs w:val="28"/>
        </w:rPr>
        <w:t xml:space="preserve">. 502, </w:t>
      </w:r>
    </w:p>
    <w:p>
      <w:pPr>
        <w:spacing w:before="0" w:after="0"/>
        <w:ind w:firstLine="708"/>
        <w:jc w:val="both"/>
        <w:rPr>
          <w:sz w:val="28"/>
          <w:szCs w:val="28"/>
        </w:rPr>
      </w:pPr>
      <w:r>
        <w:rPr>
          <w:rFonts w:ascii="Times New Roman" w:eastAsia="Times New Roman" w:hAnsi="Times New Roman" w:cs="Times New Roman"/>
          <w:sz w:val="28"/>
          <w:szCs w:val="28"/>
        </w:rPr>
        <w:t>рассмотрев в открытом судебном заседании дело об административном правонарушении в отношении должностного лица –</w:t>
      </w:r>
      <w:r>
        <w:rPr>
          <w:rFonts w:ascii="Times New Roman" w:eastAsia="Times New Roman" w:hAnsi="Times New Roman" w:cs="Times New Roman"/>
        </w:rPr>
        <w:t xml:space="preserve"> </w:t>
      </w:r>
      <w:r>
        <w:rPr>
          <w:rFonts w:ascii="Times New Roman" w:eastAsia="Times New Roman" w:hAnsi="Times New Roman" w:cs="Times New Roman"/>
          <w:sz w:val="28"/>
          <w:szCs w:val="28"/>
        </w:rPr>
        <w:t xml:space="preserve">директора </w:t>
      </w:r>
      <w:r>
        <w:rPr>
          <w:rStyle w:val="cat-OrganizationNamegrp-21rplc-0"/>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w:t>
      </w:r>
      <w:r>
        <w:rPr>
          <w:rStyle w:val="cat-FIOgrp-16rplc-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Style w:val="cat-ExternalSystemDefinedgrp-24rplc-2"/>
          <w:rFonts w:ascii="Times New Roman" w:eastAsia="Times New Roman" w:hAnsi="Times New Roman" w:cs="Times New Roman"/>
          <w:sz w:val="28"/>
          <w:szCs w:val="28"/>
        </w:rPr>
        <w:t>...</w:t>
      </w:r>
      <w:r>
        <w:rPr>
          <w:rStyle w:val="cat-PassportDatagrp-19rplc-3"/>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Style w:val="cat-UserDefinedgrp-25rplc-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UserDefinedgrp-26rplc-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PassportDatagrp-20rplc-6"/>
          <w:rFonts w:ascii="Times New Roman" w:eastAsia="Times New Roman" w:hAnsi="Times New Roman" w:cs="Times New Roman"/>
          <w:sz w:val="28"/>
          <w:szCs w:val="28"/>
        </w:rPr>
        <w:t>паспортные данные</w:t>
      </w:r>
      <w:r>
        <w:rPr>
          <w:rStyle w:val="cat-ExternalSystemDefinedgrp-22rplc-7"/>
          <w:rFonts w:ascii="Times New Roman" w:eastAsia="Times New Roman" w:hAnsi="Times New Roman" w:cs="Times New Roman"/>
          <w:sz w:val="28"/>
          <w:szCs w:val="28"/>
        </w:rPr>
        <w:t>...</w:t>
      </w:r>
      <w:r>
        <w:rPr>
          <w:rStyle w:val="cat-ExternalSystemDefinedgrp-23rplc-8"/>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в совершении административного правонарушения, предусмотренного ст. 15.5 Кодекса Российской Федерации об административных правонарушениях,</w:t>
      </w:r>
    </w:p>
    <w:p>
      <w:pPr>
        <w:spacing w:before="0" w:after="0"/>
        <w:jc w:val="center"/>
        <w:rPr>
          <w:sz w:val="28"/>
          <w:szCs w:val="28"/>
        </w:rPr>
      </w:pPr>
      <w:r>
        <w:rPr>
          <w:rFonts w:ascii="Times New Roman" w:eastAsia="Times New Roman" w:hAnsi="Times New Roman" w:cs="Times New Roman"/>
          <w:sz w:val="28"/>
          <w:szCs w:val="28"/>
        </w:rPr>
        <w:t>УСТАНОВИЛ:</w:t>
      </w:r>
    </w:p>
    <w:p>
      <w:pPr>
        <w:spacing w:before="0" w:after="0"/>
        <w:jc w:val="both"/>
        <w:rPr>
          <w:sz w:val="28"/>
          <w:szCs w:val="28"/>
        </w:rPr>
      </w:pP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д</w:t>
      </w:r>
      <w:r>
        <w:rPr>
          <w:rFonts w:ascii="Times New Roman" w:eastAsia="Times New Roman" w:hAnsi="Times New Roman" w:cs="Times New Roman"/>
          <w:sz w:val="28"/>
          <w:szCs w:val="28"/>
        </w:rPr>
        <w:t xml:space="preserve">олжностное лицо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директор </w:t>
      </w:r>
      <w:r>
        <w:rPr>
          <w:rStyle w:val="cat-OrganizationNamegrp-21rplc-9"/>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w:t>
      </w:r>
      <w:r>
        <w:rPr>
          <w:rStyle w:val="cat-FIOgrp-17rplc-1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по состоянию на </w:t>
      </w:r>
      <w:r>
        <w:rPr>
          <w:rStyle w:val="cat-Dategrp-10rplc-11"/>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w:t>
      </w:r>
      <w:r>
        <w:rPr>
          <w:rFonts w:ascii="Times New Roman" w:eastAsia="Times New Roman" w:hAnsi="Times New Roman" w:cs="Times New Roman"/>
          <w:sz w:val="28"/>
          <w:szCs w:val="28"/>
        </w:rPr>
        <w:t xml:space="preserve">предоставил в </w:t>
      </w:r>
      <w:r>
        <w:rPr>
          <w:rFonts w:ascii="Times New Roman" w:eastAsia="Times New Roman" w:hAnsi="Times New Roman" w:cs="Times New Roman"/>
          <w:sz w:val="28"/>
          <w:szCs w:val="28"/>
        </w:rPr>
        <w:t xml:space="preserve">Инспекцию ФНС России по г. Сургуту, расположенную по адресу: Ханты-Мансийского автономного округа – Югра, г. Сургут, ул. Геологическая, д. 2, </w:t>
      </w:r>
      <w:r>
        <w:rPr>
          <w:rFonts w:ascii="Times New Roman" w:eastAsia="Times New Roman" w:hAnsi="Times New Roman" w:cs="Times New Roman"/>
          <w:sz w:val="28"/>
          <w:szCs w:val="28"/>
        </w:rPr>
        <w:t xml:space="preserve">в нарушение </w:t>
      </w:r>
      <w:r>
        <w:rPr>
          <w:rFonts w:ascii="Times New Roman" w:eastAsia="Times New Roman" w:hAnsi="Times New Roman" w:cs="Times New Roman"/>
          <w:sz w:val="28"/>
          <w:szCs w:val="28"/>
        </w:rPr>
        <w:t>п.п</w:t>
      </w:r>
      <w:r>
        <w:rPr>
          <w:rFonts w:ascii="Times New Roman" w:eastAsia="Times New Roman" w:hAnsi="Times New Roman" w:cs="Times New Roman"/>
          <w:sz w:val="28"/>
          <w:szCs w:val="28"/>
        </w:rPr>
        <w:t xml:space="preserve">. 4 п. 1 ст. 23, </w:t>
      </w: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 xml:space="preserve"> ст. 289 Налогового кодекса Российской Федерации, с нарушением установленного законом срок предоставил</w:t>
      </w:r>
      <w:r>
        <w:rPr>
          <w:rFonts w:ascii="Times New Roman" w:eastAsia="Times New Roman" w:hAnsi="Times New Roman" w:cs="Times New Roman"/>
          <w:sz w:val="28"/>
          <w:szCs w:val="28"/>
        </w:rPr>
        <w:t xml:space="preserve"> декларацию по налогу на прибыль организаций </w:t>
      </w:r>
      <w:r>
        <w:rPr>
          <w:rFonts w:ascii="Times New Roman" w:eastAsia="Times New Roman" w:hAnsi="Times New Roman" w:cs="Times New Roman"/>
          <w:sz w:val="28"/>
          <w:szCs w:val="28"/>
        </w:rPr>
        <w:t xml:space="preserve">за 12 месяцев </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года, установленный законодательством о налогах и сборах не позднее </w:t>
      </w:r>
      <w:r>
        <w:rPr>
          <w:rFonts w:ascii="Times New Roman" w:eastAsia="Times New Roman" w:hAnsi="Times New Roman" w:cs="Times New Roman"/>
          <w:sz w:val="28"/>
          <w:szCs w:val="28"/>
        </w:rPr>
        <w:t>25.03.2025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фактическая дата предоставления декларации- </w:t>
      </w:r>
      <w:r>
        <w:rPr>
          <w:rFonts w:ascii="Times New Roman" w:eastAsia="Times New Roman" w:hAnsi="Times New Roman" w:cs="Times New Roman"/>
          <w:sz w:val="28"/>
          <w:szCs w:val="28"/>
        </w:rPr>
        <w:t>24</w:t>
      </w:r>
      <w:r>
        <w:rPr>
          <w:rFonts w:ascii="Times New Roman" w:eastAsia="Times New Roman" w:hAnsi="Times New Roman" w:cs="Times New Roman"/>
          <w:sz w:val="28"/>
          <w:szCs w:val="28"/>
        </w:rPr>
        <w:t>.04.2025</w:t>
      </w:r>
      <w:r>
        <w:rPr>
          <w:rFonts w:ascii="Times New Roman" w:eastAsia="Times New Roman" w:hAnsi="Times New Roman" w:cs="Times New Roman"/>
          <w:sz w:val="28"/>
          <w:szCs w:val="28"/>
        </w:rPr>
        <w:t xml:space="preserve"> тем самым </w:t>
      </w:r>
      <w:r>
        <w:rPr>
          <w:rStyle w:val="cat-FIOgrp-17rplc-1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совершил административное правонарушение, за которое предусмотрен</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ответственность статьей 15.5 Кодекса РФ об административных правонарушениях.</w:t>
      </w:r>
    </w:p>
    <w:p>
      <w:pPr>
        <w:spacing w:before="0" w:after="0"/>
        <w:ind w:firstLine="708"/>
        <w:jc w:val="both"/>
        <w:rPr>
          <w:sz w:val="28"/>
          <w:szCs w:val="28"/>
        </w:rPr>
      </w:pPr>
      <w:r>
        <w:rPr>
          <w:rStyle w:val="cat-FIOgrp-17rplc-1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 времени и месте судебного заседания извещен надлежащим образом судебной повесткой, направленной заказным письмом с уведомлением о вручении. В судебное заседание не явил</w:t>
      </w:r>
      <w:r>
        <w:rPr>
          <w:rFonts w:ascii="Times New Roman" w:eastAsia="Times New Roman" w:hAnsi="Times New Roman" w:cs="Times New Roman"/>
          <w:sz w:val="28"/>
          <w:szCs w:val="28"/>
        </w:rPr>
        <w:t>ся</w:t>
      </w:r>
      <w:r>
        <w:rPr>
          <w:rFonts w:ascii="Times New Roman" w:eastAsia="Times New Roman" w:hAnsi="Times New Roman" w:cs="Times New Roman"/>
          <w:sz w:val="28"/>
          <w:szCs w:val="28"/>
        </w:rPr>
        <w:t xml:space="preserve">, ходатайств не заявлял. </w:t>
      </w:r>
    </w:p>
    <w:p>
      <w:pPr>
        <w:spacing w:before="0" w:after="0"/>
        <w:ind w:firstLine="708"/>
        <w:jc w:val="both"/>
        <w:rPr>
          <w:sz w:val="28"/>
          <w:szCs w:val="28"/>
        </w:rPr>
      </w:pPr>
      <w:r>
        <w:rPr>
          <w:rFonts w:ascii="Times New Roman" w:eastAsia="Times New Roman" w:hAnsi="Times New Roman" w:cs="Times New Roman"/>
          <w:sz w:val="28"/>
          <w:szCs w:val="28"/>
        </w:rPr>
        <w:t>В соответствии с п. 6 Постановления Пленума Верховного Суда РФ от 24 марта 2005</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г.</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5 «О некоторых вопросах, возникающих у судов при применении Кодекса Российской Федерации об административных правонарушениях», лицо, в отношении которого ведется производство по делу, считается извещенным о времени и месте судебного рассмотрения в случае возвращения почтового отправления с отметкой об истечении срока хранения.</w:t>
      </w:r>
    </w:p>
    <w:p>
      <w:pPr>
        <w:spacing w:before="0" w:after="0"/>
        <w:ind w:firstLine="708"/>
        <w:jc w:val="both"/>
        <w:rPr>
          <w:sz w:val="28"/>
          <w:szCs w:val="28"/>
        </w:rPr>
      </w:pPr>
      <w:r>
        <w:rPr>
          <w:rFonts w:ascii="Times New Roman" w:eastAsia="Times New Roman" w:hAnsi="Times New Roman" w:cs="Times New Roman"/>
          <w:sz w:val="28"/>
          <w:szCs w:val="28"/>
        </w:rPr>
        <w:t>При указанных обстоятельствах судом определено рассмотреть дело в отсутствии привлекаемого лица по представленным материалам.</w:t>
      </w:r>
    </w:p>
    <w:p>
      <w:pPr>
        <w:spacing w:before="0" w:after="0"/>
        <w:ind w:firstLine="708"/>
        <w:jc w:val="both"/>
        <w:rPr>
          <w:sz w:val="28"/>
          <w:szCs w:val="28"/>
        </w:rPr>
      </w:pPr>
      <w:r>
        <w:rPr>
          <w:rFonts w:ascii="Times New Roman" w:eastAsia="Times New Roman" w:hAnsi="Times New Roman" w:cs="Times New Roman"/>
          <w:sz w:val="28"/>
          <w:szCs w:val="28"/>
        </w:rPr>
        <w:t xml:space="preserve">В соответствии с ч. 1 ст. 29.5 КоАП закреплено общее правило, в соответствии с которым дело рассматривается по месту совершения правонарушения. </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Как следует из разъяснения, содержащегося в п. 3 Постановления Пленума Верховного Суда РФ от 24 марта 2005 г. № 5 «О некоторых вопросах, возникающих у судов при применении Кодекса Российской Федерации об административных правонарушениях» (с изменениями и дополнениями), при определении территориальной подсудности дел об административных правонарушениях, объективная сторона которых выражается в бездействии в виде неисполнения установленной правовым актом обязанности, необходимо исходить из места жительства физического лица, в том числе индивидуального предпринимателя, места исполнения должностным лицом своих обязанностей либо места нахождения юридического лица, определяемого в соответствии со статьей</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54 ГК РФ.</w:t>
      </w:r>
    </w:p>
    <w:p>
      <w:pPr>
        <w:spacing w:before="0" w:after="0"/>
        <w:ind w:firstLine="708"/>
        <w:jc w:val="both"/>
        <w:rPr>
          <w:sz w:val="28"/>
          <w:szCs w:val="28"/>
        </w:rPr>
      </w:pPr>
      <w:r>
        <w:rPr>
          <w:rFonts w:ascii="Times New Roman" w:eastAsia="Times New Roman" w:hAnsi="Times New Roman" w:cs="Times New Roman"/>
          <w:sz w:val="28"/>
          <w:szCs w:val="28"/>
        </w:rPr>
        <w:t xml:space="preserve">Юридический адрес общества: </w:t>
      </w:r>
      <w:r>
        <w:rPr>
          <w:rFonts w:ascii="Times New Roman" w:eastAsia="Times New Roman" w:hAnsi="Times New Roman" w:cs="Times New Roman"/>
          <w:sz w:val="28"/>
          <w:szCs w:val="28"/>
        </w:rPr>
        <w:t xml:space="preserve">г. Сургут, </w:t>
      </w:r>
      <w:r>
        <w:rPr>
          <w:rFonts w:ascii="Times New Roman" w:eastAsia="Times New Roman" w:hAnsi="Times New Roman" w:cs="Times New Roman"/>
          <w:sz w:val="28"/>
          <w:szCs w:val="28"/>
        </w:rPr>
        <w:t>ул</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Маяковского, д. 11, кв. 14</w:t>
      </w:r>
    </w:p>
    <w:p>
      <w:pPr>
        <w:spacing w:before="0" w:after="0"/>
        <w:jc w:val="both"/>
        <w:rPr>
          <w:sz w:val="28"/>
          <w:szCs w:val="28"/>
        </w:rPr>
      </w:pPr>
      <w:r>
        <w:rPr>
          <w:rFonts w:ascii="Times New Roman" w:eastAsia="Times New Roman" w:hAnsi="Times New Roman" w:cs="Times New Roman"/>
          <w:sz w:val="28"/>
          <w:szCs w:val="28"/>
        </w:rPr>
        <w:t xml:space="preserve">В силу </w:t>
      </w:r>
      <w:r>
        <w:rPr>
          <w:rFonts w:ascii="Times New Roman" w:eastAsia="Times New Roman" w:hAnsi="Times New Roman" w:cs="Times New Roman"/>
          <w:sz w:val="28"/>
          <w:szCs w:val="28"/>
        </w:rPr>
        <w:t>пп</w:t>
      </w:r>
      <w:r>
        <w:rPr>
          <w:rFonts w:ascii="Times New Roman" w:eastAsia="Times New Roman" w:hAnsi="Times New Roman" w:cs="Times New Roman"/>
          <w:sz w:val="28"/>
          <w:szCs w:val="28"/>
        </w:rPr>
        <w:t>. 4 п. 1 ст. 23 Налогового кодекса Российской Федерации налогоплательщики обязаны -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Согласно п.1 ст.289 НК РФ Налогоплательщики независимо от наличия у них обязанности по уплате налога и (или) авансовых платежей по налогу, особенностей исчисления и уплаты налога обязаны по истечении каждого</w:t>
      </w:r>
      <w:r>
        <w:rPr>
          <w:rFonts w:ascii="Times New Roman" w:eastAsia="Times New Roman" w:hAnsi="Times New Roman" w:cs="Times New Roman"/>
          <w:sz w:val="28"/>
          <w:szCs w:val="28"/>
        </w:rPr>
        <w:t> </w:t>
      </w:r>
      <w:hyperlink r:id="rId4" w:anchor="block_2852" w:history="1">
        <w:r>
          <w:rPr>
            <w:rFonts w:ascii="Times New Roman" w:eastAsia="Times New Roman" w:hAnsi="Times New Roman" w:cs="Times New Roman"/>
            <w:color w:val="0000EE"/>
            <w:sz w:val="28"/>
            <w:szCs w:val="28"/>
          </w:rPr>
          <w:t>отчетного</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w:t>
      </w:r>
      <w:hyperlink r:id="rId4" w:anchor="block_285" w:history="1">
        <w:r>
          <w:rPr>
            <w:rFonts w:ascii="Times New Roman" w:eastAsia="Times New Roman" w:hAnsi="Times New Roman" w:cs="Times New Roman"/>
            <w:color w:val="0000EE"/>
            <w:sz w:val="28"/>
            <w:szCs w:val="28"/>
          </w:rPr>
          <w:t>налогового периода</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представлять в налоговые органы по месту своего нахождения и месту нахождения каждого обособленного подразделения, если иное не предусмотрено настоящим пунктом, соответствующие</w:t>
      </w:r>
      <w:r>
        <w:rPr>
          <w:rFonts w:ascii="Times New Roman" w:eastAsia="Times New Roman" w:hAnsi="Times New Roman" w:cs="Times New Roman"/>
          <w:sz w:val="28"/>
          <w:szCs w:val="28"/>
        </w:rPr>
        <w:t> </w:t>
      </w:r>
      <w:hyperlink r:id="rId5" w:anchor="/multilink/10900200/paragraph/19024/number/2:0" w:history="1">
        <w:r>
          <w:rPr>
            <w:rFonts w:ascii="Times New Roman" w:eastAsia="Times New Roman" w:hAnsi="Times New Roman" w:cs="Times New Roman"/>
            <w:color w:val="0000EE"/>
            <w:sz w:val="28"/>
            <w:szCs w:val="28"/>
          </w:rPr>
          <w:t>налоговые декларации</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в порядке, определенном настоящей статьей. Налоговые агенты обязаны по истечении каждого отчетного (налогового) периода, в котором они производили выплаты налогоплательщику, представлять в налоговые органы по месту своего нахождения</w:t>
      </w:r>
      <w:r>
        <w:rPr>
          <w:rFonts w:ascii="Times New Roman" w:eastAsia="Times New Roman" w:hAnsi="Times New Roman" w:cs="Times New Roman"/>
          <w:sz w:val="28"/>
          <w:szCs w:val="28"/>
        </w:rPr>
        <w:t> </w:t>
      </w:r>
      <w:hyperlink r:id="rId6" w:anchor="block_1000" w:history="1">
        <w:r>
          <w:rPr>
            <w:rFonts w:ascii="Times New Roman" w:eastAsia="Times New Roman" w:hAnsi="Times New Roman" w:cs="Times New Roman"/>
            <w:color w:val="0000EE"/>
            <w:sz w:val="28"/>
            <w:szCs w:val="28"/>
          </w:rPr>
          <w:t>налоговые расчеты</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в порядке, определенном настоящей статьей.</w:t>
      </w:r>
    </w:p>
    <w:p>
      <w:pPr>
        <w:spacing w:before="0" w:after="0"/>
        <w:ind w:firstLine="708"/>
        <w:jc w:val="both"/>
        <w:rPr>
          <w:sz w:val="28"/>
          <w:szCs w:val="28"/>
        </w:rPr>
      </w:pPr>
      <w:r>
        <w:rPr>
          <w:rFonts w:ascii="Times New Roman" w:eastAsia="Times New Roman" w:hAnsi="Times New Roman" w:cs="Times New Roman"/>
          <w:sz w:val="28"/>
          <w:szCs w:val="28"/>
        </w:rPr>
        <w:t>Согласно п.3 ст.289 НК РФ налогоплательщики (налоговые агенты) представляют налоговые декларации (налоговые расчеты) не позднее 28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в сроки, установленные для уплаты авансовых платежей.</w:t>
      </w:r>
    </w:p>
    <w:p>
      <w:pPr>
        <w:spacing w:before="0" w:after="0"/>
        <w:ind w:firstLine="708"/>
        <w:jc w:val="both"/>
        <w:rPr>
          <w:sz w:val="28"/>
          <w:szCs w:val="28"/>
        </w:rPr>
      </w:pPr>
      <w:r>
        <w:rPr>
          <w:rFonts w:ascii="Times New Roman" w:eastAsia="Times New Roman" w:hAnsi="Times New Roman" w:cs="Times New Roman"/>
          <w:sz w:val="28"/>
          <w:szCs w:val="28"/>
        </w:rPr>
        <w:t>Изучив представленные материалы дела, суд считает,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w:t>
      </w:r>
    </w:p>
    <w:p>
      <w:pPr>
        <w:spacing w:before="0" w:after="0"/>
        <w:ind w:firstLine="708"/>
        <w:jc w:val="both"/>
        <w:rPr>
          <w:sz w:val="28"/>
          <w:szCs w:val="28"/>
        </w:rPr>
      </w:pPr>
      <w:r>
        <w:rPr>
          <w:rFonts w:ascii="Times New Roman" w:eastAsia="Times New Roman" w:hAnsi="Times New Roman" w:cs="Times New Roman"/>
          <w:sz w:val="28"/>
          <w:szCs w:val="28"/>
        </w:rPr>
        <w:t xml:space="preserve">- протоколом об административном правонарушении № </w:t>
      </w:r>
      <w:r>
        <w:rPr>
          <w:rFonts w:ascii="Times New Roman" w:eastAsia="Times New Roman" w:hAnsi="Times New Roman" w:cs="Times New Roman"/>
          <w:sz w:val="28"/>
          <w:szCs w:val="28"/>
        </w:rPr>
        <w:t>34765</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04.09</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в котором изложены обстоятельства совершения административного правонарушения;</w:t>
      </w:r>
    </w:p>
    <w:p>
      <w:pPr>
        <w:spacing w:before="0" w:after="0"/>
        <w:ind w:firstLine="708"/>
        <w:jc w:val="both"/>
        <w:rPr>
          <w:sz w:val="28"/>
          <w:szCs w:val="28"/>
        </w:rPr>
      </w:pPr>
      <w:r>
        <w:rPr>
          <w:rFonts w:ascii="Times New Roman" w:eastAsia="Times New Roman" w:hAnsi="Times New Roman" w:cs="Times New Roman"/>
          <w:sz w:val="28"/>
          <w:szCs w:val="28"/>
        </w:rPr>
        <w:t>- справкой о не предоставлении декларации по налогу на прибыль;</w:t>
      </w:r>
    </w:p>
    <w:p>
      <w:pPr>
        <w:spacing w:before="0" w:after="0"/>
        <w:ind w:firstLine="708"/>
        <w:jc w:val="both"/>
        <w:rPr>
          <w:sz w:val="28"/>
          <w:szCs w:val="28"/>
        </w:rPr>
      </w:pPr>
      <w:r>
        <w:rPr>
          <w:rFonts w:ascii="Times New Roman" w:eastAsia="Times New Roman" w:hAnsi="Times New Roman" w:cs="Times New Roman"/>
          <w:sz w:val="28"/>
          <w:szCs w:val="28"/>
        </w:rPr>
        <w:t>- копией выписки из единого государственного реестра юридических лиц;</w:t>
      </w:r>
    </w:p>
    <w:p>
      <w:pPr>
        <w:spacing w:before="0" w:after="0"/>
        <w:ind w:firstLine="708"/>
        <w:jc w:val="both"/>
        <w:rPr>
          <w:sz w:val="28"/>
          <w:szCs w:val="28"/>
        </w:rPr>
      </w:pPr>
      <w:r>
        <w:rPr>
          <w:rFonts w:ascii="Times New Roman" w:eastAsia="Times New Roman" w:hAnsi="Times New Roman" w:cs="Times New Roman"/>
          <w:sz w:val="28"/>
          <w:szCs w:val="28"/>
        </w:rPr>
        <w:t>- и другими материалами дела</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Таким образом, прихожу к выводу о том, что действия должностного лица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директора </w:t>
      </w:r>
      <w:r>
        <w:rPr>
          <w:rStyle w:val="cat-OrganizationNamegrp-21rplc-14"/>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w:t>
      </w:r>
      <w:r>
        <w:rPr>
          <w:rStyle w:val="cat-FIOgrp-16rplc-1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правильно квалифицированы по ст. 15.5 КоАП РФ – нарушение установленных законодательством о налогах и сборах сроков представления налоговой декларации (</w:t>
      </w:r>
      <w:r>
        <w:rPr>
          <w:rFonts w:ascii="Times New Roman" w:eastAsia="Times New Roman" w:hAnsi="Times New Roman" w:cs="Times New Roman"/>
          <w:sz w:val="28"/>
          <w:szCs w:val="28"/>
        </w:rPr>
        <w:t>расчет по страховым взносам</w:t>
      </w:r>
      <w:r>
        <w:rPr>
          <w:rFonts w:ascii="Times New Roman" w:eastAsia="Times New Roman" w:hAnsi="Times New Roman" w:cs="Times New Roman"/>
          <w:sz w:val="28"/>
          <w:szCs w:val="28"/>
        </w:rPr>
        <w:t>) в налоговый орган по месту учета.</w:t>
      </w:r>
    </w:p>
    <w:p>
      <w:pPr>
        <w:spacing w:before="0" w:after="0"/>
        <w:ind w:firstLine="708"/>
        <w:jc w:val="both"/>
        <w:rPr>
          <w:sz w:val="28"/>
          <w:szCs w:val="28"/>
        </w:rPr>
      </w:pPr>
      <w:r>
        <w:rPr>
          <w:rFonts w:ascii="Times New Roman" w:eastAsia="Times New Roman" w:hAnsi="Times New Roman" w:cs="Times New Roman"/>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pPr>
        <w:spacing w:before="0" w:after="0"/>
        <w:ind w:firstLine="708"/>
        <w:jc w:val="both"/>
        <w:rPr>
          <w:sz w:val="28"/>
          <w:szCs w:val="28"/>
        </w:rPr>
      </w:pPr>
      <w:r>
        <w:rPr>
          <w:rFonts w:ascii="Times New Roman" w:eastAsia="Times New Roman" w:hAnsi="Times New Roman" w:cs="Times New Roman"/>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pPr>
        <w:spacing w:before="0" w:after="0"/>
        <w:ind w:firstLine="708"/>
        <w:jc w:val="both"/>
        <w:rPr>
          <w:sz w:val="28"/>
          <w:szCs w:val="28"/>
        </w:rPr>
      </w:pPr>
      <w:r>
        <w:rPr>
          <w:rFonts w:ascii="Times New Roman" w:eastAsia="Times New Roman" w:hAnsi="Times New Roman" w:cs="Times New Roman"/>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pPr>
        <w:spacing w:before="0" w:after="0"/>
        <w:ind w:firstLine="708"/>
        <w:jc w:val="both"/>
        <w:rPr>
          <w:sz w:val="28"/>
          <w:szCs w:val="28"/>
        </w:rPr>
      </w:pPr>
      <w:r>
        <w:rPr>
          <w:rFonts w:ascii="Times New Roman" w:eastAsia="Times New Roman" w:hAnsi="Times New Roman" w:cs="Times New Roman"/>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pPr>
        <w:spacing w:before="0" w:after="0"/>
        <w:ind w:firstLine="708"/>
        <w:jc w:val="both"/>
        <w:rPr>
          <w:sz w:val="28"/>
          <w:szCs w:val="28"/>
        </w:rPr>
      </w:pPr>
      <w:r>
        <w:rPr>
          <w:rFonts w:ascii="Times New Roman" w:eastAsia="Times New Roman" w:hAnsi="Times New Roman" w:cs="Times New Roman"/>
          <w:sz w:val="28"/>
          <w:szCs w:val="28"/>
        </w:rPr>
        <w:t>Обстоятельств, предусмотренных ст. 4.2 КоАП РФ, смягчающих административную ответственность, с</w:t>
      </w:r>
      <w:r>
        <w:rPr>
          <w:rFonts w:ascii="Times New Roman" w:eastAsia="Times New Roman" w:hAnsi="Times New Roman" w:cs="Times New Roman"/>
          <w:sz w:val="28"/>
          <w:szCs w:val="28"/>
        </w:rPr>
        <w:t>уд не усматривает.</w:t>
      </w:r>
    </w:p>
    <w:p>
      <w:pPr>
        <w:spacing w:before="0" w:after="0"/>
        <w:ind w:firstLine="708"/>
        <w:jc w:val="both"/>
        <w:rPr>
          <w:sz w:val="28"/>
          <w:szCs w:val="28"/>
        </w:rPr>
      </w:pPr>
      <w:r>
        <w:rPr>
          <w:rFonts w:ascii="Times New Roman" w:eastAsia="Times New Roman" w:hAnsi="Times New Roman" w:cs="Times New Roman"/>
          <w:sz w:val="28"/>
          <w:szCs w:val="28"/>
        </w:rPr>
        <w:t>Обстоятельств, предусмотренных ст. 4.3 КоАП РФ, отягчающих административную ответственность, с</w:t>
      </w:r>
      <w:r>
        <w:rPr>
          <w:rFonts w:ascii="Times New Roman" w:eastAsia="Times New Roman" w:hAnsi="Times New Roman" w:cs="Times New Roman"/>
          <w:sz w:val="28"/>
          <w:szCs w:val="28"/>
        </w:rPr>
        <w:t>уд не усматривает</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Согласно ст. 3.4 КоАП РФ,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r>
        <w:rPr>
          <w:rFonts w:ascii="Times New Roman" w:eastAsia="Times New Roman" w:hAnsi="Times New Roman" w:cs="Times New Roman"/>
          <w:sz w:val="28"/>
          <w:szCs w:val="28"/>
        </w:rPr>
        <w:t xml:space="preserve">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pPr>
        <w:spacing w:before="0" w:after="0"/>
        <w:ind w:firstLine="708"/>
        <w:jc w:val="both"/>
        <w:rPr>
          <w:sz w:val="28"/>
          <w:szCs w:val="28"/>
        </w:rPr>
      </w:pPr>
      <w:r>
        <w:rPr>
          <w:rFonts w:ascii="Times New Roman" w:eastAsia="Times New Roman" w:hAnsi="Times New Roman" w:cs="Times New Roman"/>
          <w:sz w:val="28"/>
          <w:szCs w:val="28"/>
        </w:rPr>
        <w:t>При назначении наказания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учитывая общественную опасность деяния, характер совершенного правонарушения, личность нарушителя</w:t>
      </w:r>
      <w:r>
        <w:rPr>
          <w:rFonts w:ascii="Times New Roman" w:eastAsia="Times New Roman" w:hAnsi="Times New Roman" w:cs="Times New Roman"/>
          <w:sz w:val="28"/>
          <w:szCs w:val="28"/>
        </w:rPr>
        <w:t xml:space="preserve">, ранее к административной ответственности не привлекавшийся, отсутствие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учитывая отсутствие имущественного ущерба, руководствуясь ст. 3.4 КоАП </w:t>
      </w:r>
      <w:r>
        <w:rPr>
          <w:rFonts w:ascii="Times New Roman" w:eastAsia="Times New Roman" w:hAnsi="Times New Roman" w:cs="Times New Roman"/>
          <w:sz w:val="28"/>
          <w:szCs w:val="28"/>
        </w:rPr>
        <w:t>РФ полагаю справедливым значить наказание в виде предупреждения, то есть официального порицания.</w:t>
      </w:r>
    </w:p>
    <w:p>
      <w:pPr>
        <w:spacing w:before="0" w:after="0"/>
        <w:ind w:firstLine="708"/>
        <w:jc w:val="both"/>
        <w:rPr>
          <w:sz w:val="28"/>
          <w:szCs w:val="28"/>
        </w:rPr>
      </w:pPr>
      <w:r>
        <w:rPr>
          <w:rFonts w:ascii="Times New Roman" w:eastAsia="Times New Roman" w:hAnsi="Times New Roman" w:cs="Times New Roman"/>
          <w:sz w:val="28"/>
          <w:szCs w:val="28"/>
        </w:rPr>
        <w:t>На основании изложенного, руководствуясь ст. 3.4, ч.1 ст. 29.10 Кодекса РФ об административных правонарушениях, мировой судья</w:t>
      </w:r>
    </w:p>
    <w:p>
      <w:pPr>
        <w:spacing w:before="0" w:after="0"/>
        <w:ind w:firstLine="708"/>
        <w:jc w:val="center"/>
        <w:rPr>
          <w:sz w:val="28"/>
          <w:szCs w:val="28"/>
        </w:rPr>
      </w:pPr>
    </w:p>
    <w:p>
      <w:pPr>
        <w:spacing w:before="0" w:after="0"/>
        <w:ind w:firstLine="708"/>
        <w:jc w:val="center"/>
        <w:rPr>
          <w:sz w:val="28"/>
          <w:szCs w:val="28"/>
        </w:rPr>
      </w:pPr>
      <w:r>
        <w:rPr>
          <w:rFonts w:ascii="Times New Roman" w:eastAsia="Times New Roman" w:hAnsi="Times New Roman" w:cs="Times New Roman"/>
          <w:sz w:val="28"/>
          <w:szCs w:val="28"/>
        </w:rPr>
        <w:t>ПОСТАНОВИЛ:</w:t>
      </w:r>
    </w:p>
    <w:p>
      <w:pPr>
        <w:spacing w:before="0" w:after="0"/>
        <w:jc w:val="both"/>
        <w:rPr>
          <w:sz w:val="28"/>
          <w:szCs w:val="28"/>
        </w:rPr>
      </w:pPr>
    </w:p>
    <w:p>
      <w:pPr>
        <w:spacing w:before="0" w:after="0"/>
        <w:ind w:firstLine="708"/>
        <w:jc w:val="both"/>
        <w:rPr>
          <w:sz w:val="28"/>
          <w:szCs w:val="28"/>
        </w:rPr>
      </w:pPr>
      <w:r>
        <w:rPr>
          <w:rFonts w:ascii="Times New Roman" w:eastAsia="Times New Roman" w:hAnsi="Times New Roman" w:cs="Times New Roman"/>
          <w:sz w:val="28"/>
          <w:szCs w:val="28"/>
        </w:rPr>
        <w:t>Должностное лицо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директора </w:t>
      </w:r>
      <w:r>
        <w:rPr>
          <w:rStyle w:val="cat-OrganizationNamegrp-21rplc-16"/>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w:t>
      </w:r>
      <w:r>
        <w:rPr>
          <w:rStyle w:val="cat-FIOgrp-16rplc-1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признать винов</w:t>
      </w:r>
      <w:r>
        <w:rPr>
          <w:rFonts w:ascii="Times New Roman" w:eastAsia="Times New Roman" w:hAnsi="Times New Roman" w:cs="Times New Roman"/>
          <w:sz w:val="28"/>
          <w:szCs w:val="28"/>
        </w:rPr>
        <w:t>ным</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w:t>
      </w:r>
      <w:r>
        <w:rPr>
          <w:rFonts w:ascii="Times New Roman" w:eastAsia="Times New Roman" w:hAnsi="Times New Roman" w:cs="Times New Roman"/>
          <w:sz w:val="28"/>
          <w:szCs w:val="28"/>
        </w:rPr>
        <w:t xml:space="preserve">ст. 15.5 Кодекса РФ об административных правонарушениях </w:t>
      </w:r>
      <w:r>
        <w:rPr>
          <w:rFonts w:ascii="Times New Roman" w:eastAsia="Times New Roman" w:hAnsi="Times New Roman" w:cs="Times New Roman"/>
          <w:sz w:val="28"/>
          <w:szCs w:val="28"/>
        </w:rPr>
        <w:t>и назначить наказание в виде предупреждения.</w:t>
      </w:r>
    </w:p>
    <w:p>
      <w:pPr>
        <w:spacing w:before="0" w:after="0"/>
        <w:ind w:firstLine="708"/>
        <w:jc w:val="both"/>
        <w:rPr>
          <w:sz w:val="28"/>
          <w:szCs w:val="28"/>
        </w:rPr>
      </w:pPr>
      <w:r>
        <w:rPr>
          <w:rFonts w:ascii="Times New Roman" w:eastAsia="Times New Roman" w:hAnsi="Times New Roman" w:cs="Times New Roman"/>
          <w:sz w:val="28"/>
          <w:szCs w:val="28"/>
        </w:rPr>
        <w:t xml:space="preserve">Постановление может быть обжаловано в </w:t>
      </w:r>
      <w:r>
        <w:rPr>
          <w:rFonts w:ascii="Times New Roman" w:eastAsia="Times New Roman" w:hAnsi="Times New Roman" w:cs="Times New Roman"/>
          <w:sz w:val="28"/>
          <w:szCs w:val="28"/>
        </w:rPr>
        <w:t>Сургутский</w:t>
      </w:r>
      <w:r>
        <w:rPr>
          <w:rFonts w:ascii="Times New Roman" w:eastAsia="Times New Roman" w:hAnsi="Times New Roman" w:cs="Times New Roman"/>
          <w:sz w:val="28"/>
          <w:szCs w:val="28"/>
        </w:rPr>
        <w:t xml:space="preserve"> городской суд Ханты – Мансийского автономного округа – Югры в течение десяти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получения копии постановления.</w:t>
      </w:r>
    </w:p>
    <w:p>
      <w:pPr>
        <w:spacing w:before="0" w:after="0"/>
        <w:jc w:val="both"/>
        <w:rPr>
          <w:sz w:val="28"/>
          <w:szCs w:val="28"/>
        </w:rPr>
      </w:pP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Д.Б. </w:t>
      </w:r>
      <w:r>
        <w:rPr>
          <w:rFonts w:ascii="Times New Roman" w:eastAsia="Times New Roman" w:hAnsi="Times New Roman" w:cs="Times New Roman"/>
          <w:sz w:val="28"/>
          <w:szCs w:val="28"/>
        </w:rPr>
        <w:t>Айткулова</w:t>
      </w:r>
    </w:p>
    <w:p>
      <w:pPr>
        <w:spacing w:before="0" w:after="0"/>
        <w:jc w:val="both"/>
        <w:rPr>
          <w:sz w:val="28"/>
          <w:szCs w:val="28"/>
        </w:rPr>
      </w:pPr>
      <w:r>
        <w:rPr>
          <w:rFonts w:ascii="Times New Roman" w:eastAsia="Times New Roman" w:hAnsi="Times New Roman" w:cs="Times New Roman"/>
          <w:sz w:val="28"/>
          <w:szCs w:val="28"/>
        </w:rPr>
        <w:t xml:space="preserve">Копия верна </w:t>
      </w: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Д.Б. </w:t>
      </w:r>
      <w:r>
        <w:rPr>
          <w:rFonts w:ascii="Times New Roman" w:eastAsia="Times New Roman" w:hAnsi="Times New Roman" w:cs="Times New Roman"/>
          <w:sz w:val="28"/>
          <w:szCs w:val="28"/>
        </w:rPr>
        <w:t>Айткулова</w:t>
      </w:r>
    </w:p>
    <w:p>
      <w:pPr>
        <w:spacing w:before="0" w:after="0"/>
        <w:jc w:val="both"/>
        <w:rPr>
          <w:sz w:val="28"/>
          <w:szCs w:val="28"/>
        </w:rPr>
      </w:pPr>
      <w:r>
        <w:rPr>
          <w:rFonts w:ascii="Times New Roman" w:eastAsia="Times New Roman" w:hAnsi="Times New Roman" w:cs="Times New Roman"/>
          <w:sz w:val="28"/>
          <w:szCs w:val="28"/>
        </w:rPr>
        <w:t> </w:t>
      </w: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sectPr>
      <w:headerReference w:type="default" r:id="rId7"/>
      <w:footerReference w:type="default" r:id="rId8"/>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Ind w:w="1196" w:type="dxa"/>
      <w:tblBorders>
        <w:top w:val="single" w:sz="6" w:space="0" w:color="FFFFFF"/>
        <w:left w:val="single" w:sz="6" w:space="0" w:color="FFFFFF"/>
        <w:bottom w:val="single" w:sz="6" w:space="0" w:color="FFFFFF"/>
        <w:right w:val="single" w:sz="6" w:space="0" w:color="FFFFFF"/>
      </w:tblBorders>
      <w:tblCellMar>
        <w:top w:w="0" w:type="dxa"/>
        <w:left w:w="0" w:type="dxa"/>
        <w:bottom w:w="0" w:type="dxa"/>
        <w:right w:w="0" w:type="dxa"/>
      </w:tblCellMar>
    </w:tblPr>
    <w:tblGrid>
      <w:gridCol w:w="1451"/>
      <w:gridCol w:w="1637"/>
    </w:tblGrid>
    <w:tr>
      <w:tblPrEx>
        <w:tblInd w:w="1196" w:type="dxa"/>
        <w:tblBorders>
          <w:top w:val="single" w:sz="6" w:space="0" w:color="FFFFFF"/>
          <w:left w:val="single" w:sz="6" w:space="0" w:color="FFFFFF"/>
          <w:bottom w:val="single" w:sz="6" w:space="0" w:color="FFFFFF"/>
          <w:right w:val="single" w:sz="6" w:space="0" w:color="FFFFFF"/>
        </w:tblBorders>
        <w:tblCellMar>
          <w:top w:w="0" w:type="dxa"/>
          <w:left w:w="0" w:type="dxa"/>
          <w:bottom w:w="0" w:type="dxa"/>
          <w:right w:w="0" w:type="dxa"/>
        </w:tblCellMar>
      </w:tblPrEx>
      <w:trPr>
        <w:trHeight w:hRule="exact" w:val="57"/>
      </w:trPr>
      <w:tc>
        <w:tcPr>
          <w:tcW w:w="689" w:type="dxa"/>
          <w:tcBorders>
            <w:right w:val="single" w:sz="6" w:space="0" w:color="FFFFFF"/>
          </w:tcBorders>
          <w:noWrap w:val="0"/>
          <w:tcMar>
            <w:top w:w="8" w:type="dxa"/>
            <w:left w:w="108" w:type="dxa"/>
            <w:bottom w:w="8" w:type="dxa"/>
            <w:right w:w="108" w:type="dxa"/>
          </w:tcMar>
          <w:vAlign w:val="top"/>
          <w:hideMark/>
        </w:tcPr>
        <w:p>
          <w:pPr>
            <w:spacing w:before="0" w:after="0"/>
            <w:rPr>
              <w:b w:val="0"/>
              <w:bCs w:val="0"/>
              <w:i w:val="0"/>
              <w:iCs w:val="0"/>
              <w:smallCaps w:val="0"/>
              <w:color w:val="000000"/>
            </w:rPr>
          </w:pPr>
          <w:r>
            <w:rPr>
              <w:rFonts w:ascii="Times New Roman" w:eastAsia="Times New Roman" w:hAnsi="Times New Roman" w:cs="Times New Roman"/>
              <w:b w:val="0"/>
              <w:bCs w:val="0"/>
              <w:i w:val="0"/>
              <w:iCs w:val="0"/>
              <w:smallCaps w:val="0"/>
              <w:color w:val="000000"/>
            </w:rPr>
            <w:t>http://sr-srg-pkms1/xlp7/</w:t>
          </w:r>
        </w:p>
      </w:tc>
      <w:tc>
        <w:tcPr>
          <w:tcW w:w="693" w:type="dxa"/>
          <w:tcBorders>
            <w:left w:val="single" w:sz="6" w:space="0" w:color="FFFFFF"/>
          </w:tcBorders>
          <w:noWrap w:val="0"/>
          <w:tcMar>
            <w:top w:w="8" w:type="dxa"/>
            <w:left w:w="108" w:type="dxa"/>
            <w:bottom w:w="8" w:type="dxa"/>
            <w:right w:w="108" w:type="dxa"/>
          </w:tcMar>
          <w:vAlign w:val="top"/>
          <w:hideMark/>
        </w:tcPr>
        <w:p>
          <w:pPr>
            <w:spacing w:before="0" w:after="0"/>
            <w:rPr>
              <w:b w:val="0"/>
              <w:bCs w:val="0"/>
              <w:i w:val="0"/>
              <w:iCs w:val="0"/>
              <w:smallCaps w:val="0"/>
              <w:color w:val="000000"/>
            </w:rPr>
          </w:pPr>
          <w:r>
            <w:rPr>
              <w:rFonts w:ascii="Times New Roman" w:eastAsia="Times New Roman" w:hAnsi="Times New Roman" w:cs="Times New Roman"/>
              <w:b w:val="0"/>
              <w:bCs w:val="0"/>
              <w:i w:val="0"/>
              <w:iCs w:val="0"/>
              <w:smallCaps w:val="0"/>
              <w:color w:val="000000"/>
            </w:rPr>
            <w:t>069de058-4b46-44a4-a14f-4ad8a3864cc7</w:t>
          </w:r>
        </w:p>
      </w:tc>
    </w:tr>
  </w:tbl>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OrganizationNamegrp-21rplc-0">
    <w:name w:val="cat-OrganizationName grp-21 rplc-0"/>
    <w:basedOn w:val="DefaultParagraphFont"/>
  </w:style>
  <w:style w:type="character" w:customStyle="1" w:styleId="cat-FIOgrp-16rplc-1">
    <w:name w:val="cat-FIO grp-16 rplc-1"/>
    <w:basedOn w:val="DefaultParagraphFont"/>
  </w:style>
  <w:style w:type="character" w:customStyle="1" w:styleId="cat-ExternalSystemDefinedgrp-24rplc-2">
    <w:name w:val="cat-ExternalSystemDefined grp-24 rplc-2"/>
    <w:basedOn w:val="DefaultParagraphFont"/>
  </w:style>
  <w:style w:type="character" w:customStyle="1" w:styleId="cat-PassportDatagrp-19rplc-3">
    <w:name w:val="cat-PassportData grp-19 rplc-3"/>
    <w:basedOn w:val="DefaultParagraphFont"/>
  </w:style>
  <w:style w:type="character" w:customStyle="1" w:styleId="cat-UserDefinedgrp-25rplc-4">
    <w:name w:val="cat-UserDefined grp-25 rplc-4"/>
    <w:basedOn w:val="DefaultParagraphFont"/>
  </w:style>
  <w:style w:type="character" w:customStyle="1" w:styleId="cat-UserDefinedgrp-26rplc-5">
    <w:name w:val="cat-UserDefined grp-26 rplc-5"/>
    <w:basedOn w:val="DefaultParagraphFont"/>
  </w:style>
  <w:style w:type="character" w:customStyle="1" w:styleId="cat-PassportDatagrp-20rplc-6">
    <w:name w:val="cat-PassportData grp-20 rplc-6"/>
    <w:basedOn w:val="DefaultParagraphFont"/>
  </w:style>
  <w:style w:type="character" w:customStyle="1" w:styleId="cat-ExternalSystemDefinedgrp-22rplc-7">
    <w:name w:val="cat-ExternalSystemDefined grp-22 rplc-7"/>
    <w:basedOn w:val="DefaultParagraphFont"/>
  </w:style>
  <w:style w:type="character" w:customStyle="1" w:styleId="cat-ExternalSystemDefinedgrp-23rplc-8">
    <w:name w:val="cat-ExternalSystemDefined grp-23 rplc-8"/>
    <w:basedOn w:val="DefaultParagraphFont"/>
  </w:style>
  <w:style w:type="character" w:customStyle="1" w:styleId="cat-OrganizationNamegrp-21rplc-9">
    <w:name w:val="cat-OrganizationName grp-21 rplc-9"/>
    <w:basedOn w:val="DefaultParagraphFont"/>
  </w:style>
  <w:style w:type="character" w:customStyle="1" w:styleId="cat-FIOgrp-17rplc-10">
    <w:name w:val="cat-FIO grp-17 rplc-10"/>
    <w:basedOn w:val="DefaultParagraphFont"/>
  </w:style>
  <w:style w:type="character" w:customStyle="1" w:styleId="cat-Dategrp-10rplc-11">
    <w:name w:val="cat-Date grp-10 rplc-11"/>
    <w:basedOn w:val="DefaultParagraphFont"/>
  </w:style>
  <w:style w:type="character" w:customStyle="1" w:styleId="cat-FIOgrp-17rplc-12">
    <w:name w:val="cat-FIO grp-17 rplc-12"/>
    <w:basedOn w:val="DefaultParagraphFont"/>
  </w:style>
  <w:style w:type="character" w:customStyle="1" w:styleId="cat-FIOgrp-17rplc-13">
    <w:name w:val="cat-FIO grp-17 rplc-13"/>
    <w:basedOn w:val="DefaultParagraphFont"/>
  </w:style>
  <w:style w:type="character" w:customStyle="1" w:styleId="cat-OrganizationNamegrp-21rplc-14">
    <w:name w:val="cat-OrganizationName grp-21 rplc-14"/>
    <w:basedOn w:val="DefaultParagraphFont"/>
  </w:style>
  <w:style w:type="character" w:customStyle="1" w:styleId="cat-FIOgrp-16rplc-15">
    <w:name w:val="cat-FIO grp-16 rplc-15"/>
    <w:basedOn w:val="DefaultParagraphFont"/>
  </w:style>
  <w:style w:type="character" w:customStyle="1" w:styleId="cat-OrganizationNamegrp-21rplc-16">
    <w:name w:val="cat-OrganizationName grp-21 rplc-16"/>
    <w:basedOn w:val="DefaultParagraphFont"/>
  </w:style>
  <w:style w:type="character" w:customStyle="1" w:styleId="cat-FIOgrp-16rplc-17">
    <w:name w:val="cat-FIO grp-16 rplc-17"/>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base.garant.ru/10900200/3bd43f497cfc1a623ede9170f9f87df6/" TargetMode="External" /><Relationship Id="rId5" Type="http://schemas.openxmlformats.org/officeDocument/2006/relationships/hyperlink" Target="http://ivo.garant.ru/" TargetMode="External" /><Relationship Id="rId6" Type="http://schemas.openxmlformats.org/officeDocument/2006/relationships/hyperlink" Target="https://base.garant.ru/71363536/53f89421bbdaf741eb2d1ecc4ddb4c33/"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